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Relationship Id="rId5" Type="http://schemas.openxmlformats.org/package/2006/relationships/metadata/core-properties" Target="docProps/core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605"/>
        <w:gridCol w:w="518"/>
        <w:gridCol w:w="576"/>
        <w:gridCol w:w="2059"/>
        <w:gridCol w:w="864"/>
        <w:gridCol w:w="2016"/>
        <w:gridCol w:w="576"/>
        <w:gridCol w:w="2102"/>
      </w:tblGrid>
      <w:tr>
        <w:trPr>
          <w:cantSplit/>
        </w:trPr>
        <w:tc>
          <w:tcPr>
            <w:tcW w:w="605" w:type="dxa"/>
            <w:tcBorders>
              <w:end w:val="single" w:sz="2" w:space="0" w:color="000000"/>
            </w:tcBorders>
            <w:vAlign w:val="top"/>
          </w:tcPr>
          <w:p>
            <w:pPr>
              <w:pStyle w:val="Normal"/>
              <w:spacing w:before="0" w:after="20" w:line="240" w:lineRule="auto"/>
              <w:jc w:val="end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Date</w:t>
            </w:r>
          </w:p>
        </w:tc>
        <w:tc>
          <w:tcPr>
            <w:tcW w:w="3154" w:type="dxa"/>
            <w:gridSpan w:val="3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20"/>
              </w:rPr>
              <w:t>9 September 2026</w:t>
            </w:r>
          </w:p>
        </w:tc>
        <w:tc>
          <w:tcPr>
            <w:tcW w:w="864" w:type="dxa"/>
            <w:tcBorders>
              <w:start w:val="single" w:sz="2" w:space="0" w:color="000000"/>
              <w:end w:val="single" w:sz="2" w:space="0" w:color="000000"/>
            </w:tcBorders>
            <w:vAlign w:val="top"/>
          </w:tcPr>
          <w:p>
            <w:pPr>
              <w:pStyle w:val="Normal"/>
              <w:spacing w:before="0" w:after="20" w:line="240" w:lineRule="auto"/>
              <w:jc w:val="end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>Deadline</w:t>
            </w:r>
          </w:p>
        </w:tc>
        <w:tc>
          <w:tcPr>
            <w:tcW w:w="4694" w:type="dxa"/>
            <w:gridSpan w:val="3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19"/>
              </w:rPr>
              <w:t>13 April 2027 (Stage 1)</w:t>
              <w:br/>
              <w:t>22 September 2027 (Stage 2)</w:t>
            </w:r>
          </w:p>
        </w:tc>
      </w:tr>
    </w:tbl>
    <w:p>
      <w:pPr>
        <w:pStyle w:val="Normal"/>
        <w:spacing w:before="0" w:after="0" w:line="40" w:lineRule="exact"/>
        <w:rPr>
          <w:rFonts w:ascii="Arial" w:hAnsi="Arial" w:cs="Arial"/>
          <w:sz w:val="18"/>
        </w:rPr>
      </w:pPr>
      <w:r>
        <w:rPr>
          <w:rFonts w:cs="Arial" w:ascii="Arial" w:hAnsi="Arial"/>
          <w:sz w:val="4"/>
        </w:rPr>
      </w:r>
    </w:p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9893"/>
      </w:tblGrid>
      <w:tr>
        <w:trPr>
          <w:cantSplit w:val="true"/>
        </w:trPr>
        <w:tc>
          <w:tcPr>
            <w:tcW w:w="98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top"/>
            <w:shd w:fill="EDF2F6"/>
          </w:tcPr>
          <w:p>
            <w:pPr>
              <w:pStyle w:val="Heading8"/>
              <w:keepNext/>
              <w:spacing w:before="40" w:after="40" w:line="240" w:lineRule="auto"/>
              <w:ind w:hanging="0" w:start="0"/>
              <w:rPr>
                <w:u w:val="none"/>
              </w:rPr>
            </w:pPr>
            <w:r>
              <w:rPr>
                <w:rFonts w:ascii="Arial" w:hAnsi="Arial"/>
                <w:b/>
                <w:sz w:val="21"/>
                <w:u w:val="none"/>
              </w:rPr>
              <w:t>CONTACT</w:t>
            </w:r>
          </w:p>
        </w:tc>
      </w:tr>
    </w:tbl>
    <w:p>
      <w:pPr>
        <w:pStyle w:val="Normal"/>
        <w:spacing w:before="0" w:after="0" w:line="40" w:lineRule="exact"/>
        <w:rPr>
          <w:rFonts w:ascii="Arial" w:hAnsi="Arial" w:cs="Arial"/>
          <w:sz w:val="18"/>
        </w:rPr>
      </w:pPr>
      <w:r>
        <w:rPr>
          <w:rFonts w:cs="Arial" w:ascii="Arial" w:hAnsi="Arial"/>
          <w:sz w:val="4"/>
        </w:rPr>
      </w:r>
    </w:p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1613"/>
        <w:gridCol w:w="3283"/>
        <w:gridCol w:w="1339"/>
        <w:gridCol w:w="3658"/>
      </w:tblGrid>
      <w:tr>
        <w:trPr>
          <w:cantSplit/>
        </w:trPr>
        <w:tc>
          <w:tcPr>
            <w:tcW w:w="1613" w:type="dxa"/>
            <w:tcBorders>
              <w:end w:val="single" w:sz="4" w:space="0" w:color="000000"/>
            </w:tcBorders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Organisation</w:t>
            </w:r>
          </w:p>
        </w:tc>
        <w:tc>
          <w:tcPr>
            <w:tcW w:w="3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19"/>
              </w:rPr>
              <w:t>PREDICT-PH-HF</w:t>
              <w:br/>
              <w:t>Investigator-led Canadian profile</w:t>
            </w:r>
          </w:p>
        </w:tc>
        <w:tc>
          <w:tcPr>
            <w:tcW w:w="1339" w:type="dxa"/>
            <w:tcBorders>
              <w:start w:val="single" w:sz="4" w:space="0" w:color="000000"/>
              <w:end w:val="single" w:sz="4" w:space="0" w:color="000000"/>
            </w:tcBorders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Department</w:t>
            </w:r>
          </w:p>
        </w:tc>
        <w:tc>
          <w:tcPr>
            <w:tcW w:w="3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19"/>
              </w:rPr>
              <w:t>Cardiovascular translational research</w:t>
              <w:br/>
              <w:t>Prospective host: TMU School of Medicine</w:t>
            </w:r>
          </w:p>
        </w:tc>
      </w:tr>
      <w:tr>
        <w:trPr>
          <w:cantSplit/>
        </w:trPr>
        <w:tc>
          <w:tcPr>
            <w:tcW w:w="1613" w:type="dxa"/>
            <w:tcBorders>
              <w:end w:val="single" w:sz="4" w:space="0" w:color="000000"/>
            </w:tcBorders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Contact person</w:t>
            </w:r>
          </w:p>
        </w:tc>
        <w:tc>
          <w:tcPr>
            <w:tcW w:w="3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19"/>
              </w:rPr>
              <w:t>Emmanuel EROUME A EGOM</w:t>
              <w:br/>
              <w:t>MD, PhD</w:t>
            </w:r>
          </w:p>
        </w:tc>
        <w:tc>
          <w:tcPr>
            <w:tcW w:w="1339" w:type="dxa"/>
            <w:tcBorders>
              <w:start w:val="single" w:sz="4" w:space="0" w:color="000000"/>
              <w:end w:val="single" w:sz="4" w:space="0" w:color="000000"/>
            </w:tcBorders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Email</w:t>
            </w:r>
          </w:p>
        </w:tc>
        <w:tc>
          <w:tcPr>
            <w:tcW w:w="3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19"/>
              </w:rPr>
              <w:t>egomemmanuel@gmail.com</w:t>
            </w:r>
          </w:p>
        </w:tc>
      </w:tr>
      <w:tr>
        <w:trPr>
          <w:cantSplit/>
        </w:trPr>
        <w:tc>
          <w:tcPr>
            <w:tcW w:w="1613" w:type="dxa"/>
            <w:tcBorders>
              <w:end w:val="single" w:sz="4" w:space="0" w:color="000000"/>
            </w:tcBorders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City</w:t>
            </w:r>
          </w:p>
        </w:tc>
        <w:tc>
          <w:tcPr>
            <w:tcW w:w="3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20"/>
              </w:rPr>
              <w:t>Mississauga, Ontario</w:t>
            </w:r>
          </w:p>
        </w:tc>
        <w:tc>
          <w:tcPr>
            <w:tcW w:w="1339" w:type="dxa"/>
            <w:tcBorders>
              <w:start w:val="single" w:sz="4" w:space="0" w:color="000000"/>
              <w:end w:val="single" w:sz="4" w:space="0" w:color="000000"/>
            </w:tcBorders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Website</w:t>
            </w:r>
          </w:p>
        </w:tc>
        <w:tc>
          <w:tcPr>
            <w:tcW w:w="3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19"/>
              </w:rPr>
              <w:t>No dedicated project website; enquiries by email.</w:t>
            </w:r>
          </w:p>
        </w:tc>
      </w:tr>
      <w:tr>
        <w:trPr>
          <w:cantSplit/>
        </w:trPr>
        <w:tc>
          <w:tcPr>
            <w:tcW w:w="1613" w:type="dxa"/>
            <w:tcBorders>
              <w:end w:val="single" w:sz="4" w:space="0" w:color="000000"/>
            </w:tcBorders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Country</w:t>
            </w:r>
          </w:p>
        </w:tc>
        <w:tc>
          <w:tcPr>
            <w:tcW w:w="3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20"/>
              </w:rPr>
              <w:t>Canada</w:t>
            </w:r>
          </w:p>
        </w:tc>
        <w:tc>
          <w:tcPr>
            <w:tcW w:w="1339" w:type="dxa"/>
            <w:tcBorders>
              <w:start w:val="single" w:sz="4" w:space="0" w:color="000000"/>
            </w:tcBorders>
            <w:vAlign w:val="top"/>
          </w:tcPr>
          <w:p>
            <w:pPr>
              <w:pStyle w:val="Normal"/>
              <w:snapToGrid w:val="false"/>
              <w:spacing w:before="0" w:after="2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</w:r>
          </w:p>
        </w:tc>
        <w:tc>
          <w:tcPr>
            <w:tcW w:w="3658" w:type="dxa"/>
            <w:tcBorders>
              <w:top w:val="single" w:sz="4" w:space="0" w:color="000000"/>
            </w:tcBorders>
            <w:vAlign w:val="top"/>
          </w:tcPr>
          <w:p>
            <w:pPr>
              <w:pStyle w:val="Normal"/>
              <w:snapToGrid w:val="false"/>
              <w:spacing w:before="0" w:after="20" w:line="240" w:lineRule="auto"/>
              <w:rPr>
                <w:rFonts w:ascii="Arial" w:hAnsi="Arial" w:cs="Arial"/>
                <w:b/>
                <w:color w:val="FF0000"/>
                <w:sz w:val="20"/>
              </w:rPr>
            </w:pPr>
            <w:r>
              <w:rPr>
                <w:rFonts w:cs="Arial" w:ascii="Arial" w:hAnsi="Arial"/>
                <w:b/>
                <w:color w:val="FF0000"/>
                <w:sz w:val="20"/>
              </w:rPr>
            </w:r>
          </w:p>
        </w:tc>
      </w:tr>
    </w:tbl>
    <w:p>
      <w:pPr>
        <w:pStyle w:val="Normal"/>
        <w:spacing w:before="0" w:after="0" w:line="40" w:lineRule="exact"/>
        <w:rPr/>
      </w:pPr>
      <w:r>
        <w:rPr>
          <w:sz w:val="4"/>
        </w:rPr>
      </w:r>
    </w:p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9893"/>
      </w:tblGrid>
      <w:tr>
        <w:trPr>
          <w:cantSplit/>
        </w:trPr>
        <w:tc>
          <w:tcPr>
            <w:tcW w:w="98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top"/>
            <w:shd w:fill="EDF2F6"/>
          </w:tcPr>
          <w:p>
            <w:pPr>
              <w:pStyle w:val="Normal"/>
              <w:keepNext/>
              <w:spacing w:before="40" w:after="40" w:line="240" w:lineRule="auto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b/>
                <w:sz w:val="21"/>
              </w:rPr>
              <w:t>Organisation type</w:t>
            </w:r>
          </w:p>
        </w:tc>
      </w:tr>
    </w:tbl>
    <w:p>
      <w:pPr>
        <w:pStyle w:val="Normal"/>
        <w:spacing w:before="0" w:after="0" w:line="40" w:lineRule="exact"/>
        <w:rPr/>
      </w:pPr>
      <w:r>
        <w:rPr>
          <w:sz w:val="4"/>
        </w:rPr>
      </w:r>
    </w:p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1469"/>
        <w:gridCol w:w="3341"/>
        <w:gridCol w:w="2534"/>
        <w:gridCol w:w="2549"/>
      </w:tblGrid>
      <w:tr>
        <w:trPr>
          <w:cantSplit/>
        </w:trPr>
        <w:tc>
          <w:tcPr>
            <w:tcW w:w="1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Research organisation type</w:t>
            </w:r>
          </w:p>
        </w:tc>
        <w:tc>
          <w:tcPr>
            <w:tcW w:w="33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top"/>
          </w:tcPr>
          <w:p>
            <w:pPr>
              <w:spacing w:after="20" w:line="240" w:lineRule="auto" w:before="0"/>
            </w:pPr>
            <w:r>
              <w:rPr>
                <w:rFonts w:ascii="Arial" w:hAnsi="Arial"/>
                <w:sz w:val="20"/>
              </w:rPr>
            </w:r>
            <w:r>
              <w:rPr>
                <w:rFonts w:ascii="DejaVu Sans" w:hAnsi="DejaVu Sans"/>
                <w:sz w:val="18"/>
              </w:rPr>
              <w:t xml:space="preserve">☐ </w:t>
            </w:r>
            <w:r>
              <w:rPr>
                <w:rFonts w:ascii="Arial" w:hAnsi="Arial"/>
                <w:sz w:val="18"/>
              </w:rPr>
              <w:t>Research Organisation</w:t>
            </w:r>
          </w:p>
          <w:p>
            <w:pPr>
              <w:spacing w:after="20" w:line="240" w:lineRule="auto" w:before="0"/>
            </w:pPr>
            <w:r>
              <w:rPr>
                <w:rFonts w:ascii="DejaVu Sans" w:hAnsi="DejaVu Sans"/>
                <w:sz w:val="18"/>
              </w:rPr>
              <w:t xml:space="preserve">☐ </w:t>
            </w:r>
            <w:r>
              <w:rPr>
                <w:rFonts w:ascii="Arial" w:hAnsi="Arial"/>
                <w:sz w:val="18"/>
              </w:rPr>
              <w:t>University</w:t>
            </w:r>
          </w:p>
          <w:p>
            <w:pPr>
              <w:spacing w:after="20" w:line="240" w:lineRule="auto" w:before="0"/>
            </w:pPr>
            <w:r>
              <w:rPr>
                <w:rFonts w:ascii="DejaVu Sans" w:hAnsi="DejaVu Sans"/>
                <w:sz w:val="18"/>
              </w:rPr>
              <w:t xml:space="preserve">☐ </w:t>
            </w:r>
            <w:r>
              <w:rPr>
                <w:rFonts w:ascii="Arial" w:hAnsi="Arial"/>
                <w:sz w:val="18"/>
              </w:rPr>
              <w:t>Company</w:t>
            </w:r>
          </w:p>
          <w:p>
            <w:pPr>
              <w:spacing w:after="20" w:line="240" w:lineRule="auto" w:before="0"/>
            </w:pPr>
            <w:r>
              <w:rPr>
                <w:rFonts w:ascii="DejaVu Sans" w:hAnsi="DejaVu Sans"/>
                <w:sz w:val="18"/>
              </w:rPr>
              <w:t xml:space="preserve">☒ </w:t>
            </w:r>
            <w:r>
              <w:rPr>
                <w:rFonts w:ascii="Arial" w:hAnsi="Arial"/>
                <w:sz w:val="18"/>
              </w:rPr>
              <w:t>Other: investigator-led research initiative</w:t>
            </w:r>
          </w:p>
        </w:tc>
        <w:tc>
          <w:tcPr>
            <w:tcW w:w="2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/>
                <w:sz w:val="18"/>
              </w:rPr>
              <w:t>Is your company an SME?</w:t>
              <w:br/>
              <w:br/>
              <w:t>Number of employees:</w:t>
            </w:r>
          </w:p>
        </w:tc>
        <w:tc>
          <w:tcPr>
            <w:tcW w:w="254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18"/>
              </w:rPr>
              <w:t>Not applicable: this is an individual investigator profile, not a company submission.</w:t>
              <w:br/>
              <w:br/>
              <w:t>Employees: not applicable.</w:t>
            </w:r>
          </w:p>
        </w:tc>
      </w:tr>
    </w:tbl>
    <w:p>
      <w:pPr>
        <w:pStyle w:val="Normal"/>
        <w:spacing w:before="0" w:after="0" w:line="40" w:lineRule="exact"/>
        <w:rPr/>
      </w:pPr>
      <w:r>
        <w:rPr>
          <w:sz w:val="4"/>
        </w:rPr>
      </w:r>
    </w:p>
    <w:p>
      <w:pPr>
        <w:pStyle w:val="Normal"/>
        <w:autoSpaceDE w:val="false"/>
        <w:spacing w:after="0" w:line="240" w:lineRule="auto"/>
        <w:rPr>
          <w:rFonts w:ascii="Arial" w:hAnsi="Arial" w:cs="Arial"/>
          <w:iCs/>
          <w:color w:val="000000"/>
          <w:sz w:val="20"/>
        </w:rPr>
      </w:pPr>
      <w:r>
        <w:rPr>
          <w:rFonts w:cs="Arial" w:ascii="Arial" w:hAnsi="Arial"/>
          <w:iCs/>
          <w:color w:val="000000"/>
          <w:sz w:val="15"/>
        </w:rPr>
        <w:t>Your enterprise is an SME if:</w:t>
      </w:r>
    </w:p>
    <w:p>
      <w:pPr>
        <w:pStyle w:val="Normal"/>
        <w:autoSpaceDE w:val="false"/>
        <w:spacing w:after="0" w:line="240" w:lineRule="auto"/>
        <w:rPr/>
      </w:pPr>
      <w:r>
        <w:rPr>
          <w:rFonts w:cs="Arial" w:ascii="Arial" w:hAnsi="Arial"/>
          <w:iCs/>
          <w:color w:val="000000"/>
          <w:sz w:val="15"/>
          <w:szCs w:val="18"/>
        </w:rPr>
        <w:t xml:space="preserve">- it is engaged in </w:t>
      </w:r>
      <w:r>
        <w:rPr>
          <w:rFonts w:cs="Arial" w:ascii="Arial" w:hAnsi="Arial"/>
          <w:b/>
          <w:bCs/>
          <w:iCs/>
          <w:color w:val="000000"/>
          <w:sz w:val="15"/>
          <w:szCs w:val="18"/>
        </w:rPr>
        <w:t>economic activity</w:t>
      </w:r>
    </w:p>
    <w:p>
      <w:pPr>
        <w:pStyle w:val="Normal"/>
        <w:autoSpaceDE w:val="false"/>
        <w:spacing w:after="0" w:line="240" w:lineRule="auto"/>
        <w:rPr/>
      </w:pPr>
      <w:r>
        <w:rPr>
          <w:rFonts w:cs="Arial" w:ascii="Arial" w:hAnsi="Arial"/>
          <w:iCs/>
          <w:color w:val="000000"/>
          <w:sz w:val="15"/>
          <w:szCs w:val="18"/>
        </w:rPr>
        <w:t xml:space="preserve">- it has </w:t>
      </w:r>
      <w:r>
        <w:rPr>
          <w:rFonts w:cs="Arial" w:ascii="Arial" w:hAnsi="Arial"/>
          <w:b/>
          <w:bCs/>
          <w:iCs/>
          <w:color w:val="000000"/>
          <w:sz w:val="15"/>
          <w:szCs w:val="18"/>
        </w:rPr>
        <w:t>less than 250 employees</w:t>
      </w:r>
    </w:p>
    <w:p>
      <w:pPr>
        <w:pStyle w:val="Normal"/>
        <w:autoSpaceDE w:val="false"/>
        <w:spacing w:after="0" w:line="240" w:lineRule="auto"/>
        <w:rPr/>
      </w:pPr>
      <w:r>
        <w:rPr>
          <w:rFonts w:cs="Arial" w:ascii="Arial" w:hAnsi="Arial"/>
          <w:iCs/>
          <w:color w:val="000000"/>
          <w:sz w:val="15"/>
          <w:szCs w:val="18"/>
        </w:rPr>
        <w:t xml:space="preserve">- it has either an </w:t>
      </w:r>
      <w:r>
        <w:rPr>
          <w:rFonts w:cs="Arial" w:ascii="Arial" w:hAnsi="Arial"/>
          <w:b/>
          <w:bCs/>
          <w:iCs/>
          <w:color w:val="000000"/>
          <w:sz w:val="15"/>
          <w:szCs w:val="18"/>
        </w:rPr>
        <w:t>annual turnover not exceeding €50M</w:t>
      </w:r>
      <w:r>
        <w:rPr>
          <w:rFonts w:cs="Arial" w:ascii="Arial" w:hAnsi="Arial"/>
          <w:iCs/>
          <w:color w:val="000000"/>
          <w:sz w:val="15"/>
          <w:szCs w:val="18"/>
        </w:rPr>
        <w:t xml:space="preserve">, </w:t>
      </w:r>
      <w:r>
        <w:rPr>
          <w:rFonts w:cs="Arial" w:ascii="Arial" w:hAnsi="Arial"/>
          <w:b/>
          <w:bCs/>
          <w:iCs/>
          <w:color w:val="000000"/>
          <w:sz w:val="15"/>
          <w:szCs w:val="18"/>
        </w:rPr>
        <w:t>or an balance sheet total not exceeding €43M</w:t>
      </w:r>
    </w:p>
    <w:p>
      <w:pPr>
        <w:pStyle w:val="Normal"/>
        <w:autoSpaceDE w:val="false"/>
        <w:spacing w:after="0" w:line="240" w:lineRule="auto"/>
        <w:rPr/>
      </w:pPr>
      <w:r>
        <w:rPr>
          <w:rFonts w:cs="Arial" w:ascii="Arial" w:hAnsi="Arial"/>
          <w:iCs/>
          <w:color w:val="000000"/>
          <w:sz w:val="15"/>
          <w:szCs w:val="18"/>
        </w:rPr>
        <w:t xml:space="preserve">- it is </w:t>
      </w:r>
      <w:r>
        <w:rPr>
          <w:rFonts w:cs="Arial" w:ascii="Arial" w:hAnsi="Arial"/>
          <w:b/>
          <w:bCs/>
          <w:iCs/>
          <w:color w:val="000000"/>
          <w:sz w:val="15"/>
          <w:szCs w:val="18"/>
        </w:rPr>
        <w:t>autonomous</w:t>
      </w:r>
    </w:p>
    <w:p>
      <w:pPr>
        <w:pStyle w:val="Normal"/>
        <w:autoSpaceDE w:val="false"/>
        <w:spacing w:after="0" w:line="240" w:lineRule="auto"/>
        <w:rPr/>
      </w:pPr>
      <w:r>
        <w:rPr>
          <w:rFonts w:cs="Helv;Arial" w:ascii="Arial" w:hAnsi="Arial"/>
          <w:i/>
          <w:iCs/>
          <w:color w:val="000000"/>
          <w:sz w:val="15"/>
        </w:rPr>
        <w:t>For the definition of SMEs, look at:</w:t>
      </w:r>
      <w:r>
        <w:rPr>
          <w:rFonts w:cs="Helv;Arial" w:ascii="Arial" w:hAnsi="Arial"/>
          <w:iCs/>
          <w:color w:val="000000"/>
          <w:sz w:val="15"/>
        </w:rPr>
        <w:t xml:space="preserve"> </w:t>
      </w:r>
      <w:hyperlink r:id="rId2">
        <w:r>
          <w:rPr>
            <w:rStyle w:val="Hyperlink"/>
            <w:rFonts w:cs="Helv;Arial" w:ascii="Helv;Arial" w:hAnsi="Helv;Arial"/>
            <w:i/>
            <w:iCs/>
            <w:sz w:val="20"/>
          </w:rPr>
          <w:t>http://ec.europa.eu/growth/smes/business-friendly-environment/sme-definition_en</w:t>
        </w:r>
      </w:hyperlink>
      <w:r>
        <w:rPr>
          <w:rFonts w:cs="Helv;Arial" w:ascii="Arial" w:hAnsi="Arial"/>
          <w:i/>
          <w:iCs/>
          <w:color w:val="000000"/>
          <w:sz w:val="15"/>
        </w:rPr>
        <w:t xml:space="preserve"> </w:t>
      </w:r>
    </w:p>
    <w:p>
      <w:pPr>
        <w:pStyle w:val="Normal"/>
        <w:spacing w:before="0" w:after="0" w:line="40" w:lineRule="exact"/>
        <w:rPr/>
      </w:pPr>
      <w:r>
        <w:rPr>
          <w:sz w:val="4"/>
        </w:rPr>
      </w:r>
    </w:p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9893"/>
      </w:tblGrid>
      <w:tr>
        <w:trPr>
          <w:cantSplit w:val="true"/>
        </w:trPr>
        <w:tc>
          <w:tcPr>
            <w:tcW w:w="98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19"/>
              </w:rPr>
              <w:t>Short introduction of key areas of institute’s research:</w:t>
              <w:br/>
              <w:t>Proposed programme: AI-enabled prediction of progression and treatment response in Group 2 pulmonary hypertension associated with heart failure, centred on HFpEF/CpcPH. Core areas: clinical phenotyping, haemodynamics, imaging, NPR-C and sphingolipid/HDL-S1P biology, digital physiology, women’s cardiovascular health, equity and independent validation. Toronto Metropolitan University School of Medicine is the preferred prospective host; discussions are underway. Faculty appointment, institutional authorisation and resource commitments are not yet established.</w:t>
            </w:r>
          </w:p>
        </w:tc>
      </w:tr>
    </w:tbl>
    <w:p>
      <w:pPr>
        <w:pStyle w:val="Normal"/>
        <w:spacing w:before="0" w:after="0" w:line="40" w:lineRule="exact"/>
        <w:rPr/>
      </w:pPr>
      <w:r>
        <w:rPr>
          <w:sz w:val="4"/>
        </w:rPr>
      </w:r>
    </w:p>
    <w:p>
      <w:pPr>
        <w:pStyle w:val="Normal"/>
        <w:spacing w:before="0" w:after="0" w:line="40" w:lineRule="exact"/>
        <w:rPr/>
      </w:pPr>
      <w:r>
        <w:rPr>
          <w:sz w:val="4"/>
        </w:rPr>
      </w:r>
    </w:p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2232"/>
        <w:gridCol w:w="7661"/>
      </w:tblGrid>
      <w:tr>
        <w:trPr>
          <w:cantSplit w:val="true"/>
        </w:trPr>
        <w:tc>
          <w:tcPr>
            <w:tcW w:w="2232" w:type="dxa"/>
            <w:tcBorders/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/>
                <w:sz w:val="19"/>
              </w:rPr>
              <w:t>Former participation in an FP European project?</w:t>
              <w:br/>
              <w:br/>
              <w:t>Project title / Acronym:</w:t>
              <w:br/>
              <w:t>Activities performed:</w:t>
            </w:r>
          </w:p>
        </w:tc>
        <w:tc>
          <w:tcPr>
            <w:tcW w:w="76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19"/>
              </w:rPr>
              <w:t>No prior FP project is claimed in this investigator profile.</w:t>
              <w:br/>
              <w:t>Project title/acronym: not applicable.</w:t>
              <w:br/>
              <w:t>Activities: not applicable.</w:t>
              <w:br/>
              <w:t>Not a declaration of TMU’s institutional FP track record.</w:t>
            </w:r>
          </w:p>
        </w:tc>
      </w:tr>
    </w:tbl>
    <w:p>
      <w:pPr>
        <w:pStyle w:val="Normal"/>
        <w:spacing w:before="0" w:after="0" w:line="40" w:lineRule="exact"/>
        <w:rPr>
          <w:rFonts w:ascii="Arial" w:hAnsi="Arial" w:cs="Arial"/>
          <w:sz w:val="18"/>
        </w:rPr>
      </w:pPr>
      <w:r>
        <w:rPr>
          <w:rFonts w:cs="Arial" w:ascii="Arial" w:hAnsi="Arial"/>
          <w:sz w:val="4"/>
        </w:rPr>
      </w:r>
    </w:p>
    <w:p>
      <w:pPr>
        <w:pStyle w:val="Normal"/>
        <w:spacing w:before="0" w:after="0" w:line="40" w:lineRule="exact"/>
        <w:rPr>
          <w:rFonts w:ascii="Arial" w:hAnsi="Arial" w:cs="Arial"/>
          <w:sz w:val="18"/>
        </w:rPr>
      </w:pPr>
      <w:r>
        <w:rPr>
          <w:rFonts w:cs="Arial" w:ascii="Arial" w:hAnsi="Arial"/>
          <w:sz w:val="4"/>
        </w:rPr>
      </w:r>
    </w:p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9893"/>
      </w:tblGrid>
      <w:tr>
        <w:trPr>
          <w:cantSplit/>
        </w:trPr>
        <w:tc>
          <w:tcPr>
            <w:tcW w:w="98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top"/>
            <w:shd w:fill="EDF2F6"/>
          </w:tcPr>
          <w:p>
            <w:pPr>
              <w:pStyle w:val="Normal"/>
              <w:keepNext/>
              <w:spacing w:before="40" w:after="40" w:line="240" w:lineRule="auto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1"/>
              </w:rPr>
              <w:t>Expertise / Commitment offered</w:t>
            </w:r>
          </w:p>
        </w:tc>
      </w:tr>
    </w:tbl>
    <w:p>
      <w:pPr>
        <w:pStyle w:val="Normal"/>
        <w:spacing w:before="0" w:after="0" w:line="40" w:lineRule="exact"/>
        <w:rPr>
          <w:rFonts w:ascii="Arial" w:hAnsi="Arial" w:cs="Arial"/>
          <w:sz w:val="20"/>
        </w:rPr>
      </w:pPr>
      <w:r>
        <w:rPr>
          <w:rFonts w:cs="Arial" w:ascii="Arial" w:hAnsi="Arial"/>
          <w:sz w:val="4"/>
        </w:rPr>
      </w:r>
    </w:p>
    <w:p>
      <w:pPr>
        <w:pStyle w:val="Normal"/>
        <w:spacing w:before="0" w:after="0" w:line="40" w:lineRule="exact"/>
        <w:rPr>
          <w:rFonts w:ascii="Arial" w:hAnsi="Arial" w:cs="Arial"/>
          <w:sz w:val="20"/>
        </w:rPr>
      </w:pPr>
      <w:r>
        <w:rPr>
          <w:rFonts w:cs="Arial" w:ascii="Arial" w:hAnsi="Arial"/>
          <w:sz w:val="4"/>
        </w:rPr>
      </w:r>
    </w:p>
    <w:p>
      <w:pPr>
        <w:pStyle w:val="Normal"/>
        <w:spacing w:before="0" w:after="0" w:line="40" w:lineRule="exact"/>
        <w:rPr>
          <w:rFonts w:ascii="Arial" w:hAnsi="Arial" w:cs="Arial"/>
          <w:sz w:val="20"/>
        </w:rPr>
      </w:pPr>
      <w:r>
        <w:rPr>
          <w:rFonts w:cs="Arial" w:ascii="Arial" w:hAnsi="Arial"/>
          <w:sz w:val="4"/>
        </w:rPr>
      </w:r>
    </w:p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29"/>
        <w:gridCol w:w="2203"/>
        <w:gridCol w:w="7661"/>
      </w:tblGrid>
      <w:tr>
        <w:trPr>
          <w:cantSplit/>
        </w:trPr>
        <w:tc>
          <w:tcPr>
            <w:tcW w:w="29" w:type="dxa"/>
            <w:tcBorders/>
            <w:vAlign w:val="top"/>
          </w:tcPr>
          <w:p>
            <w:pPr>
              <w:pStyle w:val="TableHeading"/>
              <w:spacing w:before="0" w:after="20" w:line="240" w:lineRule="auto"/>
              <w:rPr/>
            </w:pPr>
            <w:r>
              <w:rPr>
                <w:rFonts w:ascii="Arial" w:hAnsi="Arial"/>
                <w:sz w:val="20"/>
              </w:rPr>
            </w:r>
          </w:p>
        </w:tc>
        <w:tc>
          <w:tcPr>
            <w:tcW w:w="2203" w:type="dxa"/>
            <w:tcBorders>
              <w:end w:val="single" w:sz="4" w:space="0" w:color="000000"/>
            </w:tcBorders>
            <w:tcMar>
              <w:start w:w="70" w:type="dxa"/>
              <w:end w:w="70" w:type="dxa"/>
            </w:tcMar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Description of your expertise:</w:t>
            </w:r>
          </w:p>
        </w:tc>
        <w:tc>
          <w:tcPr>
            <w:tcW w:w="76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19"/>
              </w:rPr>
              <w:t>Cardiologist and clinician-scientist. Published research spans NPR-C signalling/agonism in PH due to left-heart failure and obesity-related HFpEF; cardiac remodelling; HDL-associated sphingosine-1-phosphate (S1P), S1P/serum amyloid A and LC-QTOF plasma-S1P measurement; human myocardial-ischaemia biomarkers; and Pak1/Akt/eNOS cardioprotection. Clinical contributions include imaging, functional phenotyping, women’s cardiovascular health and equity-sensitive validation. NPR-C, HDL-S1P and optional coherence-reserve measures are investigational in PH-HF. Legacy sample/data access requires custodian confirmation.</w:t>
            </w:r>
          </w:p>
        </w:tc>
      </w:tr>
      <w:tr>
        <w:trPr>
          <w:cantSplit/>
        </w:trPr>
        <w:tc>
          <w:tcPr>
            <w:tcW w:w="29" w:type="dxa"/>
            <w:tcBorders/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color w:val="FF0000"/>
                <w:sz w:val="18"/>
              </w:rPr>
            </w:pPr>
            <w:r>
              <w:rPr>
                <w:rFonts w:cs="Arial" w:ascii="Arial" w:hAnsi="Arial"/>
                <w:color w:val="FF0000"/>
                <w:sz w:val="18"/>
              </w:rPr>
            </w:r>
          </w:p>
        </w:tc>
        <w:tc>
          <w:tcPr>
            <w:tcW w:w="2203" w:type="dxa"/>
            <w:tcBorders>
              <w:end w:val="single" w:sz="4" w:space="0" w:color="000000"/>
            </w:tcBorders>
            <w:tcMar>
              <w:start w:w="70" w:type="dxa"/>
              <w:end w:w="70" w:type="dxa"/>
            </w:tcMar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Keywords specifying your expertise:</w:t>
            </w:r>
          </w:p>
        </w:tc>
        <w:tc>
          <w:tcPr>
            <w:tcW w:w="766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19"/>
              </w:rPr>
              <w:t>PH-HF; HFpEF; CpcPH; right-heart function; RHC; RV–PA coupling; NPR-C/NPR3; HDL-S1P; sphingolipids; lipidomics; predictive biomarkers; treatment response; multimodal AI; sex/gender; health equity; independent validation.</w:t>
            </w:r>
          </w:p>
        </w:tc>
      </w:tr>
      <w:tr>
        <w:trPr>
          <w:cantSplit/>
        </w:trPr>
        <w:tc>
          <w:tcPr>
            <w:tcW w:w="29" w:type="dxa"/>
            <w:tcBorders/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color w:val="FF0000"/>
                <w:sz w:val="18"/>
              </w:rPr>
            </w:pPr>
            <w:r>
              <w:rPr>
                <w:rFonts w:cs="Arial" w:ascii="Arial" w:hAnsi="Arial"/>
                <w:color w:val="FF0000"/>
                <w:sz w:val="18"/>
              </w:rPr>
            </w:r>
          </w:p>
        </w:tc>
        <w:tc>
          <w:tcPr>
            <w:tcW w:w="2203" w:type="dxa"/>
            <w:tcBorders/>
            <w:tcMar>
              <w:start w:w="70" w:type="dxa"/>
              <w:end w:w="70" w:type="dxa"/>
            </w:tcMar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Commitment offered:</w:t>
            </w:r>
          </w:p>
        </w:tc>
        <w:tc>
          <w:tcPr>
            <w:tcW w:w="76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70" w:type="dxa"/>
              <w:end w:w="70" w:type="dxa"/>
            </w:tcMar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DejaVu Sans" w:hAnsi="DejaVu Sans"/>
                <w:b w:val="0"/>
                <w:sz w:val="18"/>
              </w:rPr>
              <w:t>☒ Research   ☐ Demonstration   ☒ Training</w:t>
              <w:br/>
              <w:t>☐ Technology   ☒ Dissemination   ☒ Other: clinical translation</w:t>
            </w:r>
          </w:p>
          <w:p>
            <w:pPr>
              <w:spacing w:after="20" w:line="240" w:lineRule="auto" w:before="0"/>
            </w:pPr>
            <w:r>
              <w:rPr>
                <w:rFonts w:ascii="Arial" w:hAnsi="Arial"/>
                <w:sz w:val="19"/>
              </w:rPr>
              <w:t>Co-lead PH-HF clinical phenotyping and mechanism-informed biomarkers; lead/co-lead prospective Canadian validation, sex/equity analyses and patient engagement through HEARTWISE. Participation is subject to institutional, site, ethics and data-access approval.</w:t>
            </w:r>
          </w:p>
        </w:tc>
      </w:tr>
    </w:tbl>
    <w:p>
      <w:pPr>
        <w:pStyle w:val="Normal"/>
        <w:spacing w:before="0" w:after="0" w:line="40" w:lineRule="exact"/>
        <w:rPr>
          <w:rFonts w:ascii="Arial" w:hAnsi="Arial" w:cs="Arial"/>
          <w:sz w:val="20"/>
        </w:rPr>
      </w:pPr>
      <w:r>
        <w:rPr>
          <w:rFonts w:cs="Arial" w:ascii="Arial" w:hAnsi="Arial"/>
          <w:sz w:val="4"/>
        </w:rPr>
      </w:r>
    </w:p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2232"/>
        <w:gridCol w:w="2549"/>
        <w:gridCol w:w="2549"/>
        <w:gridCol w:w="2563"/>
      </w:tblGrid>
      <w:tr>
        <w:trPr>
          <w:cantSplit/>
        </w:trPr>
        <w:tc>
          <w:tcPr>
            <w:tcW w:w="2232" w:type="dxa"/>
            <w:tcBorders>
              <w:end w:val="single" w:sz="2" w:space="0" w:color="000000"/>
            </w:tcBorders>
            <w:vAlign w:val="top"/>
          </w:tcPr>
          <w:p>
            <w:pPr>
              <w:pStyle w:val="Normal"/>
              <w:pageBreakBefore w:val="0"/>
              <w:spacing w:before="0" w:after="20" w:line="240" w:lineRule="auto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Interested in participation in project types:</w:t>
            </w:r>
          </w:p>
        </w:tc>
        <w:tc>
          <w:tcPr>
            <w:tcW w:w="25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top"/>
          </w:tcPr>
          <w:p>
            <w:pPr>
              <w:spacing w:after="20" w:line="240" w:lineRule="auto" w:before="0"/>
            </w:pPr>
            <w:r>
              <w:rPr>
                <w:rFonts w:ascii="Arial" w:hAnsi="Arial"/>
                <w:sz w:val="20"/>
              </w:rPr>
            </w:r>
            <w:r>
              <w:rPr>
                <w:rFonts w:ascii="DejaVu Sans" w:hAnsi="DejaVu Sans"/>
                <w:sz w:val="19"/>
              </w:rPr>
              <w:t xml:space="preserve">☒ </w:t>
            </w:r>
            <w:r>
              <w:rPr>
                <w:rFonts w:ascii="Arial" w:hAnsi="Arial"/>
                <w:sz w:val="19"/>
              </w:rPr>
              <w:t>Research &amp; Innovation Action</w:t>
            </w:r>
          </w:p>
        </w:tc>
        <w:tc>
          <w:tcPr>
            <w:tcW w:w="25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top"/>
          </w:tcPr>
          <w:p>
            <w:pPr>
              <w:spacing w:after="20" w:line="240" w:lineRule="auto" w:before="0"/>
            </w:pPr>
            <w:r>
              <w:rPr>
                <w:rFonts w:ascii="Arial" w:hAnsi="Arial"/>
                <w:sz w:val="20"/>
              </w:rPr>
            </w:r>
            <w:r>
              <w:rPr>
                <w:rFonts w:ascii="DejaVu Sans" w:hAnsi="DejaVu Sans"/>
                <w:sz w:val="19"/>
              </w:rPr>
              <w:t xml:space="preserve">☐ </w:t>
            </w:r>
            <w:r>
              <w:rPr>
                <w:rFonts w:ascii="Arial" w:hAnsi="Arial"/>
                <w:sz w:val="19"/>
              </w:rPr>
              <w:t>Innovation Action</w:t>
            </w:r>
          </w:p>
        </w:tc>
        <w:tc>
          <w:tcPr>
            <w:tcW w:w="256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top"/>
          </w:tcPr>
          <w:p>
            <w:pPr>
              <w:spacing w:after="20" w:line="240" w:lineRule="auto" w:before="0"/>
            </w:pPr>
            <w:r>
              <w:rPr>
                <w:rFonts w:ascii="Arial" w:hAnsi="Arial"/>
                <w:sz w:val="20"/>
              </w:rPr>
            </w:r>
            <w:r>
              <w:rPr>
                <w:rFonts w:ascii="DejaVu Sans" w:hAnsi="DejaVu Sans"/>
                <w:sz w:val="19"/>
              </w:rPr>
              <w:t xml:space="preserve">☐ </w:t>
            </w:r>
            <w:r>
              <w:rPr>
                <w:rFonts w:ascii="Arial" w:hAnsi="Arial"/>
                <w:sz w:val="19"/>
              </w:rPr>
              <w:t>EIC Pathfinder</w:t>
            </w:r>
          </w:p>
        </w:tc>
      </w:tr>
    </w:tbl>
    <w:p>
      <w:pPr>
        <w:pStyle w:val="Normal"/>
        <w:spacing w:before="0" w:after="0" w:line="40" w:lineRule="exact"/>
        <w:rPr>
          <w:rFonts w:ascii="Arial" w:hAnsi="Arial" w:cs="Arial"/>
          <w:sz w:val="18"/>
        </w:rPr>
      </w:pPr>
      <w:r>
        <w:rPr>
          <w:rFonts w:cs="Arial" w:ascii="Arial" w:hAnsi="Arial"/>
          <w:sz w:val="4"/>
        </w:rPr>
      </w:r>
    </w:p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9893"/>
      </w:tblGrid>
      <w:tr>
        <w:trPr>
          <w:cantSplit w:val="true"/>
        </w:trPr>
        <w:tc>
          <w:tcPr>
            <w:tcW w:w="98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top"/>
            <w:shd w:fill="EDF2F6"/>
          </w:tcPr>
          <w:p>
            <w:pPr>
              <w:pStyle w:val="Heading8"/>
              <w:keepNext/>
              <w:spacing w:before="40" w:after="40" w:line="240" w:lineRule="auto"/>
              <w:ind w:hanging="0" w:start="0"/>
              <w:rPr>
                <w:u w:val="none"/>
              </w:rPr>
            </w:pPr>
            <w:r>
              <w:rPr>
                <w:rFonts w:ascii="Arial" w:hAnsi="Arial"/>
                <w:b/>
                <w:sz w:val="21"/>
                <w:u w:val="none"/>
              </w:rPr>
              <w:t>Work Programme research areas: indicate your interest</w:t>
            </w:r>
          </w:p>
        </w:tc>
      </w:tr>
    </w:tbl>
    <w:p>
      <w:pPr>
        <w:pStyle w:val="Normal"/>
        <w:spacing w:before="0" w:after="0" w:line="40" w:lineRule="exact"/>
        <w:rPr>
          <w:rFonts w:ascii="Arial" w:hAnsi="Arial" w:cs="Arial"/>
          <w:sz w:val="18"/>
        </w:rPr>
      </w:pPr>
      <w:r>
        <w:rPr>
          <w:rFonts w:cs="Arial" w:ascii="Arial" w:hAnsi="Arial"/>
          <w:sz w:val="4"/>
        </w:rPr>
      </w:r>
    </w:p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9893"/>
      </w:tblGrid>
      <w:tr>
        <w:trPr>
          <w:cantSplit w:val="true"/>
        </w:trPr>
        <w:tc>
          <w:tcPr>
            <w:tcW w:w="98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20"/>
              </w:rPr>
              <w:t>Cluster 1 Health — Developing and using new tools, technologies and digital solutions for a healthy society. Clinical development of multimodal predictive biomarkers for chronic non-communicable disease progression and treatment response; trustworthy AI, independent validation, personalised medicine, sex/gender and equity, clinical decision support and regulatory translation.</w:t>
            </w:r>
          </w:p>
        </w:tc>
      </w:tr>
    </w:tbl>
    <w:p>
      <w:pPr>
        <w:pStyle w:val="Normal"/>
        <w:spacing w:before="0" w:after="0" w:line="40" w:lineRule="exact"/>
        <w:rPr>
          <w:rFonts w:ascii="Cambria" w:hAnsi="Cambria" w:cs="Cambria"/>
          <w:b/>
          <w:bCs/>
          <w:vanish/>
          <w:sz w:val="26"/>
          <w:szCs w:val="26"/>
        </w:rPr>
      </w:pPr>
      <w:r>
        <w:rPr>
          <w:rFonts w:cs="Cambria" w:ascii="Cambria" w:hAnsi="Cambria"/>
          <w:b/>
          <w:bCs/>
          <w:vanish/>
          <w:sz w:val="4"/>
          <w:szCs w:val="26"/>
        </w:rPr>
      </w:r>
    </w:p>
    <w:p>
      <w:pPr>
        <w:pStyle w:val="Normal"/>
        <w:spacing w:before="0" w:after="0" w:line="40" w:lineRule="exact"/>
        <w:rPr>
          <w:rFonts w:eastAsia="Amerigo BT;Times New Roman"/>
        </w:rPr>
      </w:pPr>
      <w:r>
        <w:rPr>
          <w:rFonts w:eastAsia="Amerigo BT;Times New Roman"/>
          <w:sz w:val="4"/>
        </w:rPr>
        <w:t xml:space="preserve"> </w:t>
      </w:r>
    </w:p>
    <w:p>
      <w:pPr>
        <w:pStyle w:val="Normal"/>
        <w:spacing w:before="0" w:after="0" w:line="40" w:lineRule="exact"/>
        <w:rPr>
          <w:rFonts w:ascii="Arial" w:hAnsi="Arial" w:cs="Arial"/>
          <w:sz w:val="18"/>
        </w:rPr>
      </w:pPr>
      <w:r>
        <w:rPr>
          <w:rFonts w:cs="Arial" w:ascii="Arial" w:hAnsi="Arial"/>
          <w:sz w:val="4"/>
        </w:rPr>
      </w:r>
    </w:p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9893"/>
      </w:tblGrid>
      <w:tr>
        <w:trPr>
          <w:cantSplit w:val="true"/>
        </w:trPr>
        <w:tc>
          <w:tcPr>
            <w:tcW w:w="98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20"/>
              </w:rPr>
              <w:t>Call topic(s):</w:t>
              <w:br/>
              <w:t>HORIZON-HLTH-2027-02-TOOL-01-two-stage</w:t>
              <w:br/>
              <w:t>Development of predictive biomarkers of disease progression and treatment response by using AI methodologies for chronic non-communicable diseases.</w:t>
              <w:br/>
              <w:br/>
              <w:t>Proposed project: PREDICT-PH-HF — AI-enabled multimodal prediction of disease progression and treatment response in pulmonary hypertension associated with heart failure.</w:t>
            </w:r>
          </w:p>
        </w:tc>
      </w:tr>
    </w:tbl>
    <w:p>
      <w:pPr>
        <w:pStyle w:val="Normal"/>
        <w:spacing w:before="0" w:after="0" w:line="40" w:lineRule="exact"/>
        <w:rPr/>
      </w:pPr>
      <w:r>
        <w:rPr>
          <w:sz w:val="4"/>
        </w:rPr>
      </w:r>
    </w:p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2232"/>
        <w:gridCol w:w="7661"/>
      </w:tblGrid>
      <w:tr>
        <w:trPr>
          <w:cantSplit/>
        </w:trPr>
        <w:tc>
          <w:tcPr>
            <w:tcW w:w="2232" w:type="dxa"/>
            <w:tcBorders>
              <w:end w:val="single" w:sz="8" w:space="0" w:color="000000"/>
            </w:tcBorders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>Do you have other partners for this topic (which partners/country)?</w:t>
            </w:r>
          </w:p>
        </w:tc>
        <w:tc>
          <w:tcPr>
            <w:tcW w:w="766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20"/>
              </w:rPr>
              <w:t>No confirmed consortium partners or data-access commitments are claimed. TMU School of Medicine (Canada): exploratory institutional discussions. Potential networks for outreach, not committed partners: PVRI GoDeep (Germany/international), the French PH-HF consortium (France), AI4HF (Netherlands/European network) and CADENCE investigators/sponsor (international). Seeking an experienced EU coordinator and complementary clinical, technical, laboratory and patient partners.</w:t>
            </w:r>
          </w:p>
        </w:tc>
      </w:tr>
    </w:tbl>
    <w:p>
      <w:pPr>
        <w:pStyle w:val="Normal"/>
        <w:spacing w:before="0" w:after="0" w:line="40" w:lineRule="exact"/>
        <w:rPr/>
      </w:pPr>
      <w:r>
        <w:rPr>
          <w:sz w:val="4"/>
        </w:rPr>
      </w:r>
    </w:p>
    <w:p>
      <w:pPr>
        <w:pStyle w:val="Normal"/>
        <w:spacing w:before="0" w:after="0" w:line="40" w:lineRule="exact"/>
        <w:rPr/>
      </w:pPr>
      <w:r>
        <w:rPr>
          <w:sz w:val="4"/>
        </w:rPr>
      </w:r>
    </w:p>
    <w:p>
      <w:pPr>
        <w:pStyle w:val="Normal"/>
        <w:spacing w:before="0" w:after="0" w:line="40" w:lineRule="exact"/>
        <w:rPr/>
      </w:pPr>
      <w:r>
        <w:rPr>
          <w:sz w:val="4"/>
        </w:rPr>
      </w:r>
    </w:p>
    <w:p>
      <w:pPr>
        <w:pStyle w:val="Normal"/>
        <w:spacing w:before="0" w:after="0" w:line="40" w:lineRule="exact"/>
        <w:rPr>
          <w:rFonts w:ascii="Arial" w:hAnsi="Arial" w:cs="Arial"/>
          <w:sz w:val="18"/>
        </w:rPr>
      </w:pPr>
      <w:r>
        <w:rPr>
          <w:rFonts w:cs="Arial" w:ascii="Arial" w:hAnsi="Arial"/>
          <w:sz w:val="4"/>
        </w:rPr>
      </w:r>
    </w:p>
    <w:p>
      <w:pPr>
        <w:pStyle w:val="Normal"/>
        <w:spacing w:before="0" w:after="0" w:line="40" w:lineRule="exact"/>
        <w:rPr>
          <w:rFonts w:ascii="Arial" w:hAnsi="Arial" w:cs="Arial"/>
          <w:sz w:val="18"/>
        </w:rPr>
      </w:pPr>
      <w:r>
        <w:rPr>
          <w:rFonts w:cs="Arial" w:ascii="Arial" w:hAnsi="Arial"/>
          <w:sz w:val="4"/>
        </w:rPr>
      </w:r>
    </w:p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9893"/>
      </w:tblGrid>
      <w:tr>
        <w:trPr>
          <w:cantSplit w:val="true"/>
        </w:trPr>
        <w:tc>
          <w:tcPr>
            <w:tcW w:w="98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top"/>
            <w:shd w:fill="EDF2F6"/>
          </w:tcPr>
          <w:p>
            <w:pPr>
              <w:pStyle w:val="Heading8"/>
              <w:keepNext/>
              <w:spacing w:before="40" w:after="40" w:line="240" w:lineRule="auto"/>
              <w:ind w:hanging="0" w:start="0"/>
              <w:rPr/>
            </w:pPr>
            <w:r>
              <w:rPr>
                <w:rFonts w:ascii="Arial" w:hAnsi="Arial"/>
                <w:b/>
                <w:sz w:val="21"/>
                <w:u w:val="none"/>
              </w:rPr>
              <w:t>Profile of partner sought</w:t>
            </w:r>
          </w:p>
        </w:tc>
      </w:tr>
    </w:tbl>
    <w:p>
      <w:pPr>
        <w:pStyle w:val="Normal"/>
        <w:spacing w:before="0" w:after="0" w:line="40" w:lineRule="exact"/>
        <w:rPr>
          <w:rFonts w:ascii="Arial" w:hAnsi="Arial" w:cs="Arial"/>
          <w:sz w:val="18"/>
        </w:rPr>
      </w:pPr>
      <w:r>
        <w:rPr>
          <w:rFonts w:cs="Arial" w:ascii="Arial" w:hAnsi="Arial"/>
          <w:sz w:val="4"/>
        </w:rPr>
      </w:r>
    </w:p>
    <w:p>
      <w:pPr>
        <w:pStyle w:val="Normal"/>
        <w:spacing w:before="0" w:after="0" w:line="40" w:lineRule="exact"/>
        <w:rPr>
          <w:rFonts w:ascii="Arial" w:hAnsi="Arial" w:cs="Arial"/>
          <w:sz w:val="18"/>
        </w:rPr>
      </w:pPr>
      <w:r>
        <w:rPr>
          <w:rFonts w:cs="Arial" w:ascii="Arial" w:hAnsi="Arial"/>
          <w:sz w:val="4"/>
        </w:rPr>
      </w:r>
    </w:p>
    <w:tbl>
      <w:tblPr>
        <w:tblW w:w="9890" w:type="dxa"/>
        <w:jc w:val="left"/>
        <w:tblInd w:w="0" w:type="dxa"/>
        <w:tblLayout w:type="fixed"/>
        <w:tblCellMar>
          <w:top w:w="45" w:type="dxa"/>
          <w:start w:w="60" w:type="dxa"/>
          <w:bottom w:w="45" w:type="dxa"/>
          <w:end w:w="60" w:type="dxa"/>
        </w:tblCellMar>
      </w:tblPr>
      <w:tblGrid>
        <w:gridCol w:w="2232"/>
        <w:gridCol w:w="2549"/>
        <w:gridCol w:w="2549"/>
        <w:gridCol w:w="2563"/>
      </w:tblGrid>
      <w:tr>
        <w:trPr>
          <w:cantSplit/>
        </w:trPr>
        <w:tc>
          <w:tcPr>
            <w:tcW w:w="2055" w:type="dxa"/>
            <w:tcBorders>
              <w:end w:val="single" w:sz="2" w:space="0" w:color="000000"/>
            </w:tcBorders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color w:val="FF0000"/>
              </w:rPr>
            </w:pPr>
            <w:r>
              <w:rPr>
                <w:rFonts w:cs="Arial" w:ascii="Arial" w:hAnsi="Arial"/>
                <w:b/>
                <w:sz w:val="20"/>
              </w:rPr>
              <w:t>Role</w:t>
            </w:r>
          </w:p>
        </w:tc>
        <w:tc>
          <w:tcPr>
            <w:tcW w:w="31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top"/>
          </w:tcPr>
          <w:p>
            <w:pPr>
              <w:spacing w:after="20" w:line="240" w:lineRule="auto" w:before="0"/>
            </w:pPr>
            <w:r>
              <w:rPr>
                <w:rFonts w:ascii="Arial" w:hAnsi="Arial"/>
                <w:sz w:val="20"/>
              </w:rPr>
            </w:r>
            <w:r>
              <w:rPr>
                <w:rFonts w:ascii="DejaVu Sans" w:hAnsi="DejaVu Sans"/>
                <w:sz w:val="19"/>
              </w:rPr>
              <w:t xml:space="preserve">☒ </w:t>
            </w:r>
            <w:r>
              <w:rPr>
                <w:rFonts w:ascii="Arial" w:hAnsi="Arial"/>
                <w:sz w:val="19"/>
              </w:rPr>
              <w:t>technology development</w:t>
            </w:r>
          </w:p>
        </w:tc>
        <w:tc>
          <w:tcPr>
            <w:tcW w:w="198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top"/>
          </w:tcPr>
          <w:p>
            <w:pPr>
              <w:spacing w:after="20" w:line="240" w:lineRule="auto" w:before="0"/>
            </w:pPr>
            <w:r>
              <w:rPr>
                <w:rFonts w:ascii="Arial" w:hAnsi="Arial"/>
                <w:sz w:val="20"/>
              </w:rPr>
            </w:r>
            <w:r>
              <w:rPr>
                <w:rFonts w:ascii="DejaVu Sans" w:hAnsi="DejaVu Sans"/>
                <w:sz w:val="19"/>
              </w:rPr>
              <w:t xml:space="preserve">☒ </w:t>
            </w:r>
            <w:r>
              <w:rPr>
                <w:rFonts w:ascii="Arial" w:hAnsi="Arial"/>
                <w:sz w:val="19"/>
              </w:rPr>
              <w:t>research</w:t>
            </w:r>
          </w:p>
        </w:tc>
        <w:tc>
          <w:tcPr>
            <w:tcW w:w="22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top"/>
          </w:tcPr>
          <w:p>
            <w:pPr>
              <w:spacing w:after="20" w:line="240" w:lineRule="auto" w:before="0"/>
            </w:pPr>
            <w:r>
              <w:rPr>
                <w:rFonts w:ascii="Arial" w:hAnsi="Arial"/>
                <w:sz w:val="20"/>
              </w:rPr>
            </w:r>
            <w:r>
              <w:rPr>
                <w:rFonts w:ascii="DejaVu Sans" w:hAnsi="DejaVu Sans"/>
                <w:sz w:val="19"/>
              </w:rPr>
              <w:t xml:space="preserve">☒ </w:t>
            </w:r>
            <w:r>
              <w:rPr>
                <w:rFonts w:ascii="Arial" w:hAnsi="Arial"/>
                <w:sz w:val="19"/>
              </w:rPr>
              <w:t>training</w:t>
            </w:r>
          </w:p>
        </w:tc>
      </w:tr>
      <w:tr>
        <w:trPr>
          <w:cantSplit/>
        </w:trPr>
        <w:tc>
          <w:tcPr>
            <w:tcW w:w="2055" w:type="dxa"/>
            <w:tcBorders>
              <w:end w:val="single" w:sz="2" w:space="0" w:color="000000"/>
            </w:tcBorders>
            <w:vAlign w:val="top"/>
          </w:tcPr>
          <w:p>
            <w:pPr>
              <w:pStyle w:val="Normal"/>
              <w:spacing w:before="0" w:after="20" w:line="240" w:lineRule="auto"/>
              <w:rPr>
                <w:rFonts w:eastAsia="Amerigo BT;Times New Roman"/>
              </w:rPr>
            </w:pPr>
            <w:r>
              <w:rPr>
                <w:rFonts w:eastAsia="Amerigo BT;Times New Roman" w:ascii="Arial" w:hAnsi="Arial"/>
                <w:sz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top"/>
          </w:tcPr>
          <w:p>
            <w:pPr>
              <w:spacing w:after="20" w:line="240" w:lineRule="auto" w:before="0"/>
            </w:pPr>
            <w:r>
              <w:rPr>
                <w:rFonts w:ascii="Arial" w:hAnsi="Arial"/>
                <w:sz w:val="20"/>
              </w:rPr>
            </w:r>
            <w:r>
              <w:rPr>
                <w:rFonts w:ascii="DejaVu Sans" w:hAnsi="DejaVu Sans"/>
                <w:sz w:val="19"/>
              </w:rPr>
              <w:t xml:space="preserve">☒ </w:t>
            </w:r>
            <w:r>
              <w:rPr>
                <w:rFonts w:ascii="Arial" w:hAnsi="Arial"/>
                <w:sz w:val="19"/>
              </w:rPr>
              <w:t>dissemination</w:t>
            </w:r>
          </w:p>
        </w:tc>
        <w:tc>
          <w:tcPr>
            <w:tcW w:w="198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top"/>
          </w:tcPr>
          <w:p>
            <w:pPr>
              <w:spacing w:after="20" w:line="240" w:lineRule="auto" w:before="0"/>
            </w:pPr>
            <w:r>
              <w:rPr>
                <w:rFonts w:ascii="Arial" w:hAnsi="Arial"/>
                <w:sz w:val="20"/>
              </w:rPr>
            </w:r>
            <w:r>
              <w:rPr>
                <w:rFonts w:ascii="DejaVu Sans" w:hAnsi="DejaVu Sans"/>
                <w:sz w:val="19"/>
              </w:rPr>
              <w:t xml:space="preserve">☒ </w:t>
            </w:r>
            <w:r>
              <w:rPr>
                <w:rFonts w:ascii="Arial" w:hAnsi="Arial"/>
                <w:sz w:val="19"/>
              </w:rPr>
              <w:t>demonstration</w:t>
            </w:r>
          </w:p>
        </w:tc>
        <w:tc>
          <w:tcPr>
            <w:tcW w:w="226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top"/>
          </w:tcPr>
          <w:p>
            <w:pPr>
              <w:spacing w:after="20" w:line="240" w:lineRule="auto" w:before="0"/>
            </w:pPr>
            <w:r>
              <w:rPr>
                <w:rFonts w:ascii="Arial" w:hAnsi="Arial"/>
                <w:sz w:val="20"/>
              </w:rPr>
            </w:r>
            <w:r>
              <w:rPr>
                <w:rFonts w:ascii="DejaVu Sans" w:hAnsi="DejaVu Sans"/>
                <w:sz w:val="19"/>
              </w:rPr>
              <w:t xml:space="preserve">☒ </w:t>
            </w:r>
            <w:r>
              <w:rPr>
                <w:rFonts w:ascii="Arial" w:hAnsi="Arial"/>
                <w:sz w:val="19"/>
              </w:rPr>
              <w:t>other: coordination; regulatory expertise</w:t>
            </w:r>
          </w:p>
        </w:tc>
      </w:tr>
      <w:tr>
        <w:trPr>
          <w:cantSplit/>
        </w:trPr>
        <w:tc>
          <w:tcPr>
            <w:tcW w:w="2055" w:type="dxa"/>
            <w:tcBorders>
              <w:end w:val="single" w:sz="8" w:space="0" w:color="000000"/>
            </w:tcBorders>
            <w:vAlign w:val="top"/>
          </w:tcPr>
          <w:p>
            <w:pPr>
              <w:pStyle w:val="Normal"/>
              <w:spacing w:before="0" w:after="20" w:line="240" w:lineRule="auto"/>
              <w:rPr/>
            </w:pPr>
            <w:r>
              <w:rPr>
                <w:rFonts w:cs="Arial" w:ascii="Arial" w:hAnsi="Arial"/>
                <w:b/>
                <w:sz w:val="20"/>
              </w:rPr>
              <w:t>Country /region</w:t>
            </w:r>
          </w:p>
        </w:tc>
        <w:tc>
          <w:tcPr>
            <w:tcW w:w="7661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20"/>
              </w:rPr>
              <w:t>EU Member States and Horizon Europe Associated Countries, with an EU-based coordinator. Priority outreach: Germany, France, the Netherlands and Belgium; Canadian validation partners.</w:t>
            </w:r>
          </w:p>
        </w:tc>
      </w:tr>
      <w:tr>
        <w:trPr>
          <w:cantSplit/>
        </w:trPr>
        <w:tc>
          <w:tcPr>
            <w:tcW w:w="2055" w:type="dxa"/>
            <w:tcBorders>
              <w:end w:val="single" w:sz="8" w:space="0" w:color="000000"/>
            </w:tcBorders>
            <w:vAlign w:val="top"/>
          </w:tcPr>
          <w:p>
            <w:pPr>
              <w:pStyle w:val="Normal"/>
              <w:spacing w:before="0" w:after="2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  <w:t xml:space="preserve">Expertise required </w:t>
            </w:r>
          </w:p>
        </w:tc>
        <w:tc>
          <w:tcPr>
            <w:tcW w:w="7661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top"/>
          </w:tcPr>
          <w:p>
            <w:pPr>
              <w:keepLines/>
              <w:spacing w:before="0" w:after="20" w:line="240" w:lineRule="auto"/>
            </w:pPr>
            <w:r>
              <w:rPr>
                <w:rFonts w:ascii="Arial" w:hAnsi="Arial"/>
                <w:b w:val="0"/>
                <w:sz w:val="20"/>
              </w:rPr>
              <w:t>1. Horizon-experienced coordinator and research-management team.</w:t>
              <w:br/>
              <w:t>2. Clinical/data partners with RHC-confirmed Group 2 PH-HF, HFpEF/CpcPH cohorts, longitudinal outcomes and independent validation. Controlled or protocolized treatment-response datasets are particularly important.</w:t>
              <w:br/>
              <w:t>3. Established, explainable multimodal AI; secure/federated analytics; biostatistics and treatment-effect modelling; calibration, uncertainty and sex/equity performance evaluation.</w:t>
              <w:br/>
              <w:t>4. Imaging and qualified biomarker/lipidomics cores, stored plasma/serum where available, assay harmonisation and reproducible S1P/HDL-S1P/NPR-C-related candidate measurements.</w:t>
              <w:br/>
              <w:t>5. Regulatory science, clinical software, health economics, implementation, patient organisations and community co-design.</w:t>
              <w:br/>
              <w:br/>
              <w:t>Initial request: non-binding interest, aggregate feasibility counts, data dictionaries, biospecimen inventories, governance options and realistic access timelines. No raw-data transfer, sample availability or institutional commitment is assumed.</w:t>
            </w:r>
          </w:p>
        </w:tc>
      </w:tr>
    </w:tbl>
    <w:p>
      <w:pPr>
        <w:pStyle w:val="Normal"/>
        <w:spacing w:before="0" w:after="0" w:line="40" w:lineRule="exact"/>
        <w:rPr>
          <w:rFonts w:ascii="Arial" w:hAnsi="Arial" w:cs="Arial"/>
          <w:b/>
          <w:sz w:val="24"/>
        </w:rPr>
      </w:pPr>
      <w:r>
        <w:rPr>
          <w:rFonts w:cs="Arial" w:ascii="Arial" w:hAnsi="Arial"/>
          <w:b/>
          <w:sz w:val="4"/>
        </w:rPr>
      </w:r>
    </w:p>
    <w:p>
      <w:pPr>
        <w:pStyle w:val="Normal"/>
        <w:rPr/>
      </w:pPr>
      <w:r>
        <w:rPr>
          <w:rFonts w:ascii="Arial" w:hAnsi="Arial"/>
          <w:b/>
          <w:sz w:val="20"/>
        </w:rPr>
        <w:t xml:space="preserve">I agree with the publication of my contact data:   </w:t>
      </w:r>
      <w:r>
        <w:rPr>
          <w:rFonts w:ascii="DejaVu Sans" w:hAnsi="DejaVu Sans"/>
          <w:sz w:val="20"/>
        </w:rPr>
        <w:t>☒ YES    ☐ NO</w:t>
      </w:r>
    </w:p>
    <w:p>
      <w:pPr>
        <w:spacing w:after="0"/>
      </w:pPr>
      <w:r>
        <w:rPr>
          <w:rFonts w:ascii="Arial" w:hAnsi="Arial"/>
          <w:sz w:val="18"/>
        </w:rPr>
        <w:t>Consent: publication of Emmanuel EROUME A EGOM’s name and egomemmanuel@gmail.com for Horizon Europe partner search.</w:t>
      </w:r>
    </w:p>
    <w:sectPr>
      <w:headerReference w:type="default" r:id="rId3"/>
      <w:footerReference w:type="default" r:id="rId4"/>
      <w:type w:val="nextPage"/>
      <w:pgSz w:w="11906" w:h="16838"/>
      <w:pgMar w:left="1008" w:right="1008" w:gutter="0" w:header="432" w:top="1627" w:footer="360" w:bottom="79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/>
    <w:family w:val="swiss"/>
    <w:pitch w:val="default"/>
  </w:font>
  <w:font w:name="Amerigo BT">
    <w:altName w:val="Times New Roman"/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Wingdings">
    <w:charset w:val="02"/>
    <w:family w:val="auto"/>
    <w:pitch w:val="variable"/>
  </w:font>
  <w:font w:name="Courier New">
    <w:charset w:val="00" w:characterSet="windows-1252"/>
    <w:family w:val="modern"/>
    <w:pitch w:val="default"/>
  </w:font>
  <w:font w:name="Segoe UI">
    <w:charset w:val="00" w:characterSet="windows-1252"/>
    <w:family w:val="swiss"/>
    <w:pitch w:val="variable"/>
  </w:font>
  <w:font w:name="Helv">
    <w:altName w:val="Arial"/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cs="Arial"/>
        <w:sz w:val="18"/>
      </w:rPr>
    </w:pPr>
    <w:r>
      <w:rPr>
        <w:rFonts w:ascii="Arial" w:hAnsi="Arial"/>
        <w:sz w:val="16"/>
      </w:rPr>
      <w:t xml:space="preserve">PREDICT-PH-HF | Non-confidential partner profile | </w:t>
    </w:r>
    <w:fldSimple w:instr="PAGE">
      <w:r>
        <w:t>1</w:t>
      </w:r>
    </w:fldSimple>
  </w:p>
  <w:p>
    <w:pPr>
      <w:pStyle w:val="Footer"/>
      <w:rPr>
        <w:rFonts w:ascii="Arial" w:hAnsi="Arial" w:cs="Arial"/>
        <w:sz w:val="18"/>
      </w:rPr>
    </w:pPr>
    <w:r>
      <w:rPr>
        <w:rFonts w:cs="Arial" w:ascii="Arial" w:hAnsi="Arial"/>
        <w:sz w:val="1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0" w:line="20" w:lineRule="exact"/>
      <w:rPr>
        <w:rFonts w:ascii="Arial" w:hAnsi="Arial" w:cs="Arial"/>
        <w:b/>
        <w:sz w:val="32"/>
        <w:szCs w:val="32"/>
      </w:rPr>
    </w:pPr>
    <w:r>
      <w:rPr>
        <w:rFonts w:cs="Arial" w:ascii="Arial" w:hAnsi="Arial"/>
        <w:b/>
        <w:sz w:val="2"/>
        <w:szCs w:val="32"/>
      </w:rPr>
    </w:r>
  </w:p>
  <w:tbl>
    <w:tblPr>
      <w:tblW w:w="921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4605"/>
      <w:gridCol w:w="4605"/>
    </w:tblGrid>
    <w:tr>
      <w:trPr/>
      <w:tc>
        <w:tcPr>
          <w:tcW w:w="4605" w:type="dxa"/>
          <w:tcBorders/>
        </w:tcPr>
        <w:p>
          <w:pPr>
            <w:pStyle w:val="Header"/>
            <w:spacing w:before="0" w:after="0" w:line="240" w:lineRule="auto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cs="Arial" w:ascii="Arial" w:hAnsi="Arial"/>
              <w:b/>
              <w:sz w:val="24"/>
              <w:szCs w:val="24"/>
            </w:rPr>
            <w:t xml:space="preserve">Partner Search Form </w:t>
          </w:r>
        </w:p>
        <w:p>
          <w:pPr>
            <w:pStyle w:val="Header"/>
            <w:spacing w:before="0" w:after="0" w:line="240" w:lineRule="auto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cs="Arial" w:ascii="Arial" w:hAnsi="Arial"/>
              <w:b/>
              <w:sz w:val="24"/>
              <w:szCs w:val="24"/>
            </w:rPr>
            <w:t>Horizon Europe</w:t>
          </w:r>
        </w:p>
        <w:p>
          <w:pPr>
            <w:pStyle w:val="Header"/>
            <w:spacing w:before="0" w:after="0" w:line="240" w:lineRule="auto"/>
            <w:rPr>
              <w:rFonts w:ascii="Arial" w:hAnsi="Arial" w:cs="Arial"/>
              <w:b/>
              <w:sz w:val="32"/>
              <w:szCs w:val="32"/>
            </w:rPr>
          </w:pPr>
          <w:r>
            <w:rPr>
              <w:rFonts w:cs="Arial" w:ascii="Arial" w:hAnsi="Arial"/>
              <w:b/>
              <w:sz w:val="24"/>
              <w:szCs w:val="24"/>
            </w:rPr>
            <w:t>Health</w:t>
          </w:r>
        </w:p>
      </w:tc>
      <w:tc>
        <w:tcPr>
          <w:tcW w:w="4605" w:type="dxa"/>
          <w:tcBorders/>
        </w:tcPr>
        <w:p>
          <w:pPr>
            <w:pStyle w:val="Header"/>
            <w:spacing w:before="0" w:after="0" w:line="240" w:lineRule="auto"/>
            <w:jc w:val="end"/>
            <w:rPr>
              <w:rFonts w:ascii="Arial" w:hAnsi="Arial" w:cs="Arial"/>
              <w:b/>
              <w:sz w:val="32"/>
              <w:szCs w:val="32"/>
            </w:rPr>
          </w:pPr>
          <w:r>
            <w:rPr/>
            <w:drawing>
              <wp:inline distT="0" distB="0" distL="0" distR="0">
                <wp:extent cx="1351280" cy="462915"/>
                <wp:effectExtent l="0" t="0" r="0" b="0"/>
                <wp:docPr id="1" name="Image1" descr="HNN 3.0 Health National Contact Point Network logo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7" t="-19" r="-7" b="-1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1280" cy="462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0" w:lineRule="exact"/>
      <w:rPr>
        <w:rFonts w:ascii="Arial" w:hAnsi="Arial" w:cs="Arial"/>
        <w:b/>
        <w:sz w:val="32"/>
        <w:szCs w:val="32"/>
      </w:rPr>
    </w:pPr>
    <w:r>
      <w:rPr>
        <w:rFonts w:cs="Arial" w:ascii="Arial" w:hAnsi="Arial"/>
        <w:b/>
        <w:sz w:val="2"/>
        <w:szCs w:val="3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pStyle w:val="Heading8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SimSun" w:cs="Lucida Sans"/>
        <w:sz w:val="24"/>
        <w:szCs w:val="24"/>
        <w:lang w:val="en-C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 w:line="240" w:lineRule="auto"/>
    </w:pPr>
    <w:rPr>
      <w:rFonts w:ascii="Arial" w:hAnsi="Arial" w:eastAsia="Times New Roman" w:cs="Amerigo BT;Times New Roman"/>
      <w:color w:val="auto"/>
      <w:sz w:val="20"/>
      <w:szCs w:val="20"/>
      <w:lang w:val="en-GB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rFonts w:ascii="Arial" w:hAnsi="Arial" w:cs="Arial"/>
      <w:b/>
      <w:smallCaps/>
      <w:sz w:val="2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de-CH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Heading8">
    <w:name w:val="Heading 8"/>
    <w:basedOn w:val="Normal"/>
    <w:next w:val="Normal"/>
    <w:qFormat/>
    <w:pPr>
      <w:keepNext w:val="true"/>
      <w:numPr>
        <w:ilvl w:val="7"/>
        <w:numId w:val="1"/>
      </w:numPr>
      <w:outlineLvl w:val="7"/>
    </w:pPr>
    <w:rPr>
      <w:rFonts w:ascii="Arial" w:hAnsi="Arial" w:cs="Arial"/>
      <w:b/>
      <w:u w:val="single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Wingdings" w:hAnsi="Wingdings" w:cs="Wingdings"/>
    </w:rPr>
  </w:style>
  <w:style w:type="character" w:styleId="WW8Num4z0">
    <w:name w:val="WW8Num4z0"/>
    <w:qFormat/>
    <w:rPr>
      <w:rFonts w:ascii="Wingdings" w:hAnsi="Wingdings" w:cs="Wingdings"/>
    </w:rPr>
  </w:style>
  <w:style w:type="character" w:styleId="WW8Num5z0">
    <w:name w:val="WW8Num5z0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character" w:styleId="Heading3Char">
    <w:name w:val="Heading 3 Char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Heading2Char">
    <w:name w:val="Heading 2 Char"/>
    <w:qFormat/>
    <w:rPr>
      <w:rFonts w:ascii="Cambria" w:hAnsi="Cambria" w:cs="Cambria"/>
      <w:b/>
      <w:bCs/>
      <w:i/>
      <w:iCs/>
      <w:sz w:val="28"/>
      <w:szCs w:val="28"/>
      <w:lang w:val="de-CH"/>
    </w:rPr>
  </w:style>
  <w:style w:type="character" w:styleId="CommentReference">
    <w:name w:val="Comment Reference"/>
    <w:qFormat/>
    <w:rPr>
      <w:sz w:val="16"/>
      <w:szCs w:val="16"/>
    </w:rPr>
  </w:style>
  <w:style w:type="character" w:styleId="CommentTextChar">
    <w:name w:val="Comment Text Char"/>
    <w:qFormat/>
    <w:rPr>
      <w:rFonts w:ascii="Amerigo BT;Times New Roman" w:hAnsi="Amerigo BT;Times New Roman" w:cs="Amerigo BT;Times New Roman"/>
      <w:lang w:val="en-GB"/>
    </w:rPr>
  </w:style>
  <w:style w:type="character" w:styleId="CommentSubjectChar">
    <w:name w:val="Comment Subject Char"/>
    <w:qFormat/>
    <w:rPr>
      <w:rFonts w:ascii="Amerigo BT;Times New Roman" w:hAnsi="Amerigo BT;Times New Roman" w:cs="Amerigo BT;Times New Roman"/>
      <w:b/>
      <w:bCs/>
      <w:lang w:val="en-GB"/>
    </w:rPr>
  </w:style>
  <w:style w:type="character" w:styleId="BalloonTextChar">
    <w:name w:val="Balloon Text Char"/>
    <w:qFormat/>
    <w:rPr>
      <w:rFonts w:ascii="Segoe UI" w:hAnsi="Segoe UI" w:cs="Segoe UI"/>
      <w:sz w:val="18"/>
      <w:szCs w:val="18"/>
      <w:lang w:val="en-GB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PingFang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Arial" w:hAnsi="Arial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Arial" w:hAnsi="Arial" w:cs="Lucida San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CommentText">
    <w:name w:val="Comment Text"/>
    <w:basedOn w:val="Normal"/>
    <w:qFormat/>
    <w:pPr/>
    <w:rPr>
      <w:sz w:val="20"/>
    </w:rPr>
  </w:style>
  <w:style w:type="paragraph" w:styleId="CommentSubject">
    <w:name w:val="Comment Subject"/>
    <w:basedOn w:val="CommentText"/>
    <w:next w:val="CommentText"/>
    <w:qFormat/>
    <w:pPr/>
    <w:rPr>
      <w:b/>
      <w:bCs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ec.europa.eu/growth/smes/business-friendly-environment/sme-definition_en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LibreOffice/7.6.6.3$MacOSX_X86_64 LibreOffice_project/d97b2716a9a4a2ce1391dee1765565ea469b0ae7</Application>
  <AppVersion>15.0000</AppVersion>
  <Pages>3</Pages>
  <Words>226</Words>
  <Characters>1313</Characters>
  <CharactersWithSpaces>1586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PREDICT-PH-HF — HNN 3.0 Partner Search Form</dc:title>
  <cp:lastModifiedBy>Emmanuel EROUME A EGOM</cp:lastModifiedBy>
  <cp:revision>1</cp:revision>
  <dcterms:modified xsi:type="dcterms:W3CDTF">2026-09-09T17:28:35Z</dcterms:modified>
  <dc:subject>HORIZON-HLTH-2027-02-TOOL-01-two-stage</dc:subject>
  <dc:creator>Emmanuel EROUME A EGOM</dc:creator>
  <dc:description>Non-confidential individual investigator profile for Canadian NCP partner-search circulation.</dc:description>
  <cp:keywords>PREDICT-PH-HF; Horizon Europe; HNN 3.0; partner search; PH-HF; HFpEF; NPR-C; HDL-S1P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1200.00000000000</vt:lpwstr>
  </property>
  <property fmtid="{D5CDD505-2E9C-101B-9397-08002B2CF9AE}" pid="3" name="display_urn:schemas-microsoft-com:office:office#Author">
    <vt:lpwstr>Nicole Wyss</vt:lpwstr>
  </property>
  <property fmtid="{D5CDD505-2E9C-101B-9397-08002B2CF9AE}" pid="4" name="display_urn:schemas-microsoft-com:office:office#Editor">
    <vt:lpwstr>Nicole Wyss</vt:lpwstr>
  </property>
</Properties>
</file>